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12, 2024</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001-35203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THERATECHNOLOGIES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2015 Peel Street, Suite 1100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Montréal, Québec, Canada</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H3A 1T8</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99"/>
        <w:spacing w:after="0" w:line="207" w:lineRule="exact"/>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84" w:lineRule="exact"/>
        <w:rPr>
          <w:sz w:val="24"/>
          <w:szCs w:val="24"/>
          <w:color w:val="auto"/>
        </w:rPr>
      </w:pPr>
    </w:p>
    <w:p>
      <w:pPr>
        <w:jc w:val="center"/>
        <w:ind w:right="-99"/>
        <w:spacing w:after="0" w:line="207" w:lineRule="exact"/>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66" w:lineRule="exact"/>
        <w:rPr>
          <w:sz w:val="24"/>
          <w:szCs w:val="24"/>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13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84" w:lineRule="exact"/>
        <w:rPr>
          <w:sz w:val="24"/>
          <w:szCs w:val="24"/>
          <w:color w:val="auto"/>
        </w:rPr>
      </w:pPr>
    </w:p>
    <w:p>
      <w:pPr>
        <w:jc w:val="center"/>
        <w:ind w:right="-99"/>
        <w:spacing w:after="0" w:line="207" w:lineRule="exact"/>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66" w:lineRule="exact"/>
        <w:rPr>
          <w:sz w:val="24"/>
          <w:szCs w:val="24"/>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83" w:lineRule="exact"/>
        <w:rPr>
          <w:sz w:val="24"/>
          <w:szCs w:val="24"/>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21" w:lineRule="exact"/>
        <w:rPr>
          <w:sz w:val="24"/>
          <w:szCs w:val="24"/>
          <w:color w:val="auto"/>
        </w:rPr>
      </w:pPr>
    </w:p>
    <w:p>
      <w:pPr>
        <w:jc w:val="center"/>
        <w:ind w:right="-99"/>
        <w:spacing w:after="0" w:line="207" w:lineRule="exact"/>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440" w:top="376" w:right="559" w:bottom="1440" w:gutter="0" w:footer="0" w:header="0"/>
        </w:sectPr>
      </w:pPr>
    </w:p>
    <w:bookmarkStart w:id="1" w:name="page2"/>
    <w:bookmarkEnd w:id="1"/>
    <w:p>
      <w:pPr>
        <w:jc w:val="right"/>
        <w:ind w:right="32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THERATECHNOLOGIES INC.</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December 12, 2024</w:t>
      </w:r>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THERATECHNOLOGIES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Jocelyn Lafond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Jocelyn Lafond</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2024</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MATERIAL CHANGE REPORT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51-102F3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NAME AND ADDRESS OF COMPANY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THERATECHNOLOGIES INC. (“</w:t>
      </w:r>
      <w:r>
        <w:rPr>
          <w:rFonts w:ascii="Times New Roman" w:cs="Times New Roman" w:eastAsia="Times New Roman" w:hAnsi="Times New Roman"/>
          <w:sz w:val="20"/>
          <w:szCs w:val="20"/>
          <w:b w:val="1"/>
          <w:bCs w:val="1"/>
          <w:color w:val="auto"/>
        </w:rPr>
        <w:t>Theratechnologies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2015 Peel Street</w:t>
      </w:r>
    </w:p>
    <w:p>
      <w:pPr>
        <w:ind w:left="760"/>
        <w:spacing w:after="0" w:line="184" w:lineRule="auto"/>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760"/>
        <w:spacing w:after="0"/>
        <w:rPr>
          <w:sz w:val="20"/>
          <w:szCs w:val="20"/>
          <w:color w:val="auto"/>
        </w:rPr>
      </w:pPr>
      <w:r>
        <w:rPr>
          <w:rFonts w:ascii="Times New Roman" w:cs="Times New Roman" w:eastAsia="Times New Roman" w:hAnsi="Times New Roman"/>
          <w:sz w:val="20"/>
          <w:szCs w:val="20"/>
          <w:color w:val="auto"/>
        </w:rPr>
        <w:t>Montréal, Québec</w:t>
      </w:r>
    </w:p>
    <w:p>
      <w:pPr>
        <w:ind w:left="760"/>
        <w:spacing w:after="0"/>
        <w:rPr>
          <w:sz w:val="20"/>
          <w:szCs w:val="20"/>
          <w:color w:val="auto"/>
        </w:rPr>
      </w:pPr>
      <w:r>
        <w:rPr>
          <w:rFonts w:ascii="Times New Roman" w:cs="Times New Roman" w:eastAsia="Times New Roman" w:hAnsi="Times New Roman"/>
          <w:sz w:val="20"/>
          <w:szCs w:val="20"/>
          <w:color w:val="auto"/>
        </w:rPr>
        <w:t>Canada H3A 1T8</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 DATE OF MATERIAL CHANGE</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December 4,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 NEWS RELEASE</w:t>
      </w:r>
    </w:p>
    <w:p>
      <w:pPr>
        <w:spacing w:after="0" w:line="220" w:lineRule="exact"/>
        <w:rPr>
          <w:sz w:val="20"/>
          <w:szCs w:val="20"/>
          <w:color w:val="auto"/>
        </w:rPr>
      </w:pPr>
    </w:p>
    <w:p>
      <w:pPr>
        <w:jc w:val="both"/>
        <w:ind w:left="760" w:right="20"/>
        <w:spacing w:after="0" w:line="254" w:lineRule="auto"/>
        <w:rPr>
          <w:sz w:val="20"/>
          <w:szCs w:val="20"/>
          <w:color w:val="auto"/>
        </w:rPr>
      </w:pPr>
      <w:r>
        <w:rPr>
          <w:rFonts w:ascii="Times New Roman" w:cs="Times New Roman" w:eastAsia="Times New Roman" w:hAnsi="Times New Roman"/>
          <w:sz w:val="20"/>
          <w:szCs w:val="20"/>
          <w:color w:val="auto"/>
        </w:rPr>
        <w:t xml:space="preserve">A news release describing this material change was issued by the Company on December 4, 2024 via “GLOBE NEWSWIRE”. A copy of the news release is available on the SEDAR+ website at </w:t>
      </w:r>
      <w:r>
        <w:rPr>
          <w:rFonts w:ascii="Times New Roman" w:cs="Times New Roman" w:eastAsia="Times New Roman" w:hAnsi="Times New Roman"/>
          <w:sz w:val="20"/>
          <w:szCs w:val="20"/>
          <w:u w:val="single" w:color="auto"/>
          <w:color w:val="0000FF"/>
        </w:rPr>
        <w:t>www.sedarplus.ca</w:t>
      </w:r>
      <w:r>
        <w:rPr>
          <w:rFonts w:ascii="Times New Roman" w:cs="Times New Roman" w:eastAsia="Times New Roman" w:hAnsi="Times New Roman"/>
          <w:sz w:val="20"/>
          <w:szCs w:val="20"/>
          <w:color w:val="auto"/>
        </w:rPr>
        <w:t xml:space="preserve"> and on the EDGAR website at </w:t>
      </w:r>
      <w:r>
        <w:rPr>
          <w:rFonts w:ascii="Times New Roman" w:cs="Times New Roman" w:eastAsia="Times New Roman" w:hAnsi="Times New Roman"/>
          <w:sz w:val="20"/>
          <w:szCs w:val="20"/>
          <w:u w:val="single" w:color="auto"/>
          <w:color w:val="auto"/>
        </w:rPr>
        <w:t>www.sec.gov/edgar</w:t>
      </w:r>
      <w:r>
        <w:rPr>
          <w:rFonts w:ascii="Times New Roman" w:cs="Times New Roman" w:eastAsia="Times New Roman" w:hAnsi="Times New Roman"/>
          <w:sz w:val="20"/>
          <w:szCs w:val="20"/>
          <w:color w:val="auto"/>
        </w:rPr>
        <w:t xml:space="preserve"> as an attachment to a Form 6-K dated December 4,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 SUMMARY OF MATERIAL CHANGE</w:t>
      </w:r>
    </w:p>
    <w:p>
      <w:pPr>
        <w:spacing w:after="0" w:line="220" w:lineRule="exact"/>
        <w:rPr>
          <w:sz w:val="20"/>
          <w:szCs w:val="20"/>
          <w:color w:val="auto"/>
        </w:rPr>
      </w:pPr>
    </w:p>
    <w:p>
      <w:pPr>
        <w:jc w:val="both"/>
        <w:ind w:left="760" w:right="20"/>
        <w:spacing w:after="0" w:line="246" w:lineRule="auto"/>
        <w:rPr>
          <w:sz w:val="20"/>
          <w:szCs w:val="20"/>
          <w:color w:val="auto"/>
        </w:rPr>
      </w:pPr>
      <w:r>
        <w:rPr>
          <w:rFonts w:ascii="Times New Roman" w:cs="Times New Roman" w:eastAsia="Times New Roman" w:hAnsi="Times New Roman"/>
          <w:sz w:val="20"/>
          <w:szCs w:val="20"/>
          <w:color w:val="auto"/>
        </w:rPr>
        <w:t>On December 4, 2024, the Company announced that it entered into an agreement with Ionis Pharmaceuticals, Inc. (“Ionis”) to license two investigational RNA-targeted medicines developed by Ionis. Under the agreement, Theratechnologies receives exclusive rights in Canada for olezarsen, which is being evaluated for familial chylomicronemia syndrome (“FCS”) and severe hypertriglyceridemia (“sHTG”), and for donidalorsen, which is being evaluated for the treatment of hereditary angioedema (“HAE”). All figures are in U.S. dollars unless otherwise stated.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 FULL DESCRIPTION OF MATERIAL CHANGE</w:t>
      </w:r>
    </w:p>
    <w:p>
      <w:pPr>
        <w:spacing w:after="0" w:line="220" w:lineRule="exact"/>
        <w:rPr>
          <w:sz w:val="20"/>
          <w:szCs w:val="20"/>
          <w:color w:val="auto"/>
        </w:rPr>
      </w:pPr>
    </w:p>
    <w:p>
      <w:pPr>
        <w:jc w:val="both"/>
        <w:ind w:left="760" w:right="20"/>
        <w:spacing w:after="0" w:line="249" w:lineRule="auto"/>
        <w:rPr>
          <w:sz w:val="20"/>
          <w:szCs w:val="20"/>
          <w:color w:val="auto"/>
        </w:rPr>
      </w:pPr>
      <w:r>
        <w:rPr>
          <w:rFonts w:ascii="Times New Roman" w:cs="Times New Roman" w:eastAsia="Times New Roman" w:hAnsi="Times New Roman"/>
          <w:sz w:val="20"/>
          <w:szCs w:val="20"/>
          <w:color w:val="auto"/>
        </w:rPr>
        <w:t>On December 4, 2024, the Company announced that it entered into an agreement with Ionis to license two investigational RNA-targeted medicines developed by Ionis. Under the agreement, Theratechnologies receives exclusive rights in Canada for olezarsen, which is being evaluated for FCS and sHTG, and for donidalorsen, which is being evaluated for the treatment of HAE. All figures are in U.S. dollars unless otherwise stated.</w:t>
      </w:r>
    </w:p>
    <w:p>
      <w:pPr>
        <w:spacing w:after="0" w:line="180" w:lineRule="exact"/>
        <w:rPr>
          <w:sz w:val="20"/>
          <w:szCs w:val="20"/>
          <w:color w:val="auto"/>
        </w:rPr>
      </w:pPr>
    </w:p>
    <w:p>
      <w:pPr>
        <w:jc w:val="both"/>
        <w:ind w:left="760" w:right="20"/>
        <w:spacing w:after="0" w:line="263" w:lineRule="auto"/>
        <w:rPr>
          <w:sz w:val="20"/>
          <w:szCs w:val="20"/>
          <w:color w:val="auto"/>
        </w:rPr>
      </w:pPr>
      <w:r>
        <w:rPr>
          <w:rFonts w:ascii="Times New Roman" w:cs="Times New Roman" w:eastAsia="Times New Roman" w:hAnsi="Times New Roman"/>
          <w:sz w:val="19"/>
          <w:szCs w:val="19"/>
          <w:color w:val="auto"/>
        </w:rPr>
        <w:t>“Theratechnologies is proud to be the partner of choice for Ionis to bring two innovative treatments for three potential indications to patients with unmet medical needs across Canada, thus expanding upon our foundational HIV portfolio and primary business in the U.S.,” said Paul Lévesque, President and Chief Executive Officer of Theratechnologies. “The agreement with Ionis is a testament to our team’s capabilities to advance innovation across North America and reaffirms our commitment to be a commercially focused company that delivers sustained top- and bottom-line growth and value for shareholders.”</w:t>
      </w:r>
    </w:p>
    <w:p>
      <w:pPr>
        <w:sectPr>
          <w:pgSz w:w="11900" w:h="16838" w:orient="portrait"/>
          <w:cols w:equalWidth="0" w:num="1">
            <w:col w:w="11020"/>
          </w:cols>
          <w:pgMar w:left="440" w:top="114" w:right="439" w:bottom="1440" w:gutter="0" w:footer="0" w:header="0"/>
        </w:sectPr>
      </w:pPr>
    </w:p>
    <w:bookmarkStart w:id="4" w:name="page5"/>
    <w:bookmarkEnd w:id="4"/>
    <w:p>
      <w:pPr>
        <w:ind w:left="45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- 2 -</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Olezarsen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Olezarsen is an investigational RNA-targeted medicine designed to lower the body’s production of apoC-III, a protein produced in the liver that regulates triglyceride (“TG”) metabolism in the blood. It is being evaluated for the treatment of both FCS and sHTG.</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FCS is characterized by extremely elevated TG levels, chronic, debilitating symptoms and recurrent, potentially life-threatening acute pancreatitis. Generally, the prevalence of FCS in Canada is similar to the broader global population. However, in specific regions like Eastern Québec, the prevalence of FCS is believed to be approximately 100-fold higher (1:10,000) than the global average due to the founder effect.</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sHTG is characterized by a severe elevation in TG levels and can result in serious health complications, including potentially life-threatening acute pancreatitis. The disease affects a much larger patient population than FCS, with a total addressable market for sHTG in the U.S. representing up to approximately 3 million patients and a similar prevalence in Canada on a per capita basis.</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U.S. Food and Drug Administration (“FDA”) has accepted for Priority Review the olezarsen New Drug Application (“NDA”) for the treatment of adults with FCS. The FDA has designated olezarsen as an Orphan Drug and has set a Prescription Drug User Fee Act (“PDUFA”) action date of December 19, 2024. Theratechnologies plans to submit olezarsen in FCS to Health Canada for review in 2025. If the Company receives a Notice of Compliance, it will be the first approved treatment for FCS treatment in Canada.</w:t>
      </w:r>
    </w:p>
    <w:p>
      <w:pPr>
        <w:spacing w:after="0" w:line="18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Ionis has completed enrollment of the Phase 3 olezarsen clinical program for patients with sHTG (CORE, CORE2 and ESSENCE), with results from all three trials anticipated in the second half of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Donidalorsen</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Donidalorsen is an investigational RNA-targeted medicine designed to reduce the production of prekallikrein (“PKK”), a protein that plays an important role in the activation of inflammatory mediators associated with acute attacks of HAE.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HAE is a rare and potentially life-threatening genetic condition that involves recurrent attacks of severe swelling (angioedema) in various parts of the body. HAE (Type 1 and Type 2) has a combined estimated prevalence of approximately one in 50,000 people.</w:t>
      </w:r>
    </w:p>
    <w:p>
      <w:pPr>
        <w:spacing w:after="0" w:line="17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FDA has recently accepted the donidalorsen NDA for review for the treatment of hereditary angioedema, with a PDUFA action date of August 21, 2025. Regulatory submissions are also progressing in Europe. Donidalorsen received Orphan Drug Designation from the FDA in 2023 and from the European Commission in 2024. Theratechnologies plans to submit donidalorsen for HAE to Health Canada for review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Transaction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Ionis has granted Theratechnologies an exclusive license to commercialize olezarsen and donidalorsen for use in Canada.</w:t>
      </w:r>
    </w:p>
    <w:p>
      <w:pPr>
        <w:sectPr>
          <w:pgSz w:w="11900" w:h="16838" w:orient="portrait"/>
          <w:cols w:equalWidth="0" w:num="1">
            <w:col w:w="10260"/>
          </w:cols>
          <w:pgMar w:left="1200" w:top="409" w:right="439" w:bottom="1440" w:gutter="0" w:footer="0" w:header="0"/>
        </w:sectPr>
      </w:pPr>
    </w:p>
    <w:bookmarkStart w:id="5" w:name="page6"/>
    <w:bookmarkEnd w:id="5"/>
    <w:p>
      <w:pPr>
        <w:ind w:left="45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- 3 -</w:t>
      </w:r>
    </w:p>
    <w:p>
      <w:pPr>
        <w:spacing w:after="0" w:line="3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Ionis will receive a $10 million upfront payment upon execution of the agreement as well as milestone payments up to $12.75 million based on the achievement of regulatory milestones, public reimbursement, and annual sales targets. Ionis will also be entitled to receive tiered double-digit royalties on annual net sales of each medicine.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Theratechnologies will be responsible for filing, obtaining and maintaining regulatory approval for olezarsen and donidalorsen in Canada. Ionis will be manufacturing and supplying both products to Theratechnologies and has granted the Company a right to manufacture both products in certain limited circumstances.</w:t>
      </w:r>
    </w:p>
    <w:p>
      <w:pPr>
        <w:spacing w:after="0" w:line="1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term of the licensing agreement with Ionis will continue until Theratechnologies permanently ceases commercializing all licensed products in Canada, or unless earlier terminated in accordance with customary termination provisions for transactions of this like-nature.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Information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This document contains forward-looking statements and forward-looking information (collectively, the “Forward-Looking Statements”) within the meaning of applicable securities laws, that are based on management’s beliefs and assumptions and on information currently available to it. You can identify forward-looking statements by terms such as “may”, “will”, “should”, “could”, “promising”, “would”, “outlook”, “believe”, “plan”, “envisage”, “anticipate”, “expect” and “estimate”, or the negatives of these terms, or variations of them. The Forward-Looking Statements contained in this document include, but are not limited to, statements regarding: (i) the top and bottom-line growth of the Company; (ii) the estimates related to the prevalence of sHTG and HAE in Canada; (iii) the time periods related to the filing of the new drug submissions for each of donidalorsen and olezarsen with Health Canada; and (iv) the time period related to the receipt of results from the Phase 3 olezarsen clinical program for patients with sHTG. Although the Forward-Looking Statements contained in this document are based upon what the Company believes are reasonable assumptions in light of the information currently available, investors are cautioned against placing undue reliance on these statements since actual results may vary from the Forward-Looking Statements contained in this document. Certain assumptions made in preparing the Forward-Looking Statements include that: (i) sales of the products currently sold by the Company will continue to grow; (ii) the donidalorsen and olezarsen compounds, when filed with Health Canada, will be approved by the agency; (iii) both of these compounds, if and when approved, will be reimbursed in Canada and will be accepted by the Canadian marketplace as treatment for which they will be indicated; (iv) sales of these compounds will contribute to the top and bottom-line growth of the Company; (v) we will have all of the information required to file new drug submissions for each of those compounds with Health Canada according to the timelines set forth herein; and (vi) the results from the Phase 3 olezarsen clinical program will be available to us in the second half of 2025. Forward-Looking Statements assumptions are subject to a number of risks and uncertainties, many of which are beyond the Company’s control, that could cause actual results to differ materially from those that are disclosed in or implied by such Forward-Looking Statements. These risks and uncertainties include, but are not limited to: (i) a decrease in sales of our commercialized products; (ii) the non-approval by Heath Canada of one or both of the compounds; (iii) even if approved by Health Canada, the non-reimbursement in Canada of one or both of these compounds; (iv) the non-acceptance by the marketplace of these new compounds to treat the diseases they will be indicated for; (v) competing treatments from the entry of new drug products;</w:t>
      </w:r>
    </w:p>
    <w:p>
      <w:pPr>
        <w:spacing w:after="0" w:line="233" w:lineRule="exact"/>
        <w:rPr>
          <w:sz w:val="20"/>
          <w:szCs w:val="20"/>
          <w:color w:val="auto"/>
        </w:rPr>
      </w:pPr>
    </w:p>
    <w:p>
      <w:pPr>
        <w:ind w:right="20" w:firstLine="7"/>
        <w:spacing w:after="0" w:line="246" w:lineRule="auto"/>
        <w:tabs>
          <w:tab w:leader="none" w:pos="34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the filing of new drug submissions for any of those compounds; (vii) unexpected expense increases in connection with our activities, including seeking the approval of, and/or commercially launching,</w:t>
      </w:r>
    </w:p>
    <w:p>
      <w:pPr>
        <w:sectPr>
          <w:pgSz w:w="11900" w:h="16838" w:orient="portrait"/>
          <w:cols w:equalWidth="0" w:num="1">
            <w:col w:w="10260"/>
          </w:cols>
          <w:pgMar w:left="1200" w:top="409"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- 4 -</w:t>
      </w:r>
    </w:p>
    <w:p>
      <w:pPr>
        <w:spacing w:after="0" w:line="3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of those compounds; and (viii) delays in receiving the results from the Phase 3 olezarsen clinical program.</w:t>
      </w:r>
    </w:p>
    <w:p>
      <w:pPr>
        <w:spacing w:after="0" w:line="216"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 xml:space="preserve">The Company refers current and potential investors to the “Risk Factors” section of the Company’s Form 20-F dated February 21, 2024 available on SEDAR+ at </w:t>
      </w:r>
      <w:r>
        <w:rPr>
          <w:rFonts w:ascii="Times New Roman" w:cs="Times New Roman" w:eastAsia="Times New Roman" w:hAnsi="Times New Roman"/>
          <w:sz w:val="20"/>
          <w:szCs w:val="20"/>
          <w:u w:val="single" w:color="auto"/>
          <w:color w:val="auto"/>
        </w:rPr>
        <w:t>www.sedarplus.ca</w:t>
      </w:r>
      <w:r>
        <w:rPr>
          <w:rFonts w:ascii="Times New Roman" w:cs="Times New Roman" w:eastAsia="Times New Roman" w:hAnsi="Times New Roman"/>
          <w:sz w:val="20"/>
          <w:szCs w:val="20"/>
          <w:color w:val="auto"/>
        </w:rPr>
        <w:t xml:space="preserve"> and on EDGAR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 xml:space="preserve"> under Theratechnologies’ public filings. The reader is cautioned to consider these and other risks and uncertainties carefully and not to put undue reliance on forward-looking statements. Forward-Looking Statements reflect current expectations regarding future events and speak only as of the date of this document and represent the Company’s expectations as of that date.</w:t>
      </w:r>
    </w:p>
    <w:p>
      <w:pPr>
        <w:spacing w:after="0" w:line="185" w:lineRule="exact"/>
        <w:rPr>
          <w:sz w:val="20"/>
          <w:szCs w:val="20"/>
          <w:color w:val="auto"/>
        </w:rPr>
      </w:pPr>
    </w:p>
    <w:p>
      <w:pPr>
        <w:jc w:val="both"/>
        <w:ind w:left="760"/>
        <w:spacing w:after="0" w:line="269" w:lineRule="auto"/>
        <w:rPr>
          <w:sz w:val="20"/>
          <w:szCs w:val="20"/>
          <w:color w:val="auto"/>
        </w:rPr>
      </w:pPr>
      <w:r>
        <w:rPr>
          <w:rFonts w:ascii="Times New Roman" w:cs="Times New Roman" w:eastAsia="Times New Roman" w:hAnsi="Times New Roman"/>
          <w:sz w:val="20"/>
          <w:szCs w:val="20"/>
          <w:color w:val="auto"/>
        </w:rPr>
        <w:t>The Company undertakes no obligation to update or revise the information contained in this document, whether as a result of new information, future events or circumstances or otherwise, except as may be required by applicable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 RELIANCE ON SUBSECTION 7.1(2) OR (3) OF NATIONAL INSTRUMENT 51-102</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 OMITTED INFORMATION</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 EXECUTIVE OFFICER</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For further information, contact Jocelyn Lafond, General Counsel and Corporate Secretary of the Company at (438) 315-6607.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 DATE OF REPORT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December 12, 2024.</w:t>
      </w:r>
    </w:p>
    <w:sectPr>
      <w:pgSz w:w="11900" w:h="16838" w:orient="portrait"/>
      <w:cols w:equalWidth="0" w:num="1">
        <w:col w:w="11000"/>
      </w:cols>
      <w:pgMar w:left="440" w:top="40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2024-12-12T11:03:08Z</dcterms:created>
  <dcterms:modified xsi:type="dcterms:W3CDTF">2024-12-12T11:03:08Z</dcterms:modified>
</cp:coreProperties>
</file>